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15D8" w14:textId="13FD6297" w:rsidR="00B464BA" w:rsidRDefault="00B464BA" w:rsidP="00B464BA">
      <w:pPr>
        <w:pStyle w:val="Footer"/>
        <w:tabs>
          <w:tab w:val="clear" w:pos="9360"/>
          <w:tab w:val="right" w:pos="9990"/>
        </w:tabs>
        <w:ind w:left="-720" w:right="-630"/>
        <w:jc w:val="both"/>
        <w:rPr>
          <w:rFonts w:ascii="Times New Roman" w:hAnsi="Times New Roman"/>
          <w:sz w:val="20"/>
          <w:szCs w:val="20"/>
        </w:rPr>
      </w:pPr>
      <w:r w:rsidRPr="0088492D">
        <w:rPr>
          <w:rFonts w:ascii="Times New Roman" w:hAnsi="Times New Roman"/>
          <w:b/>
          <w:sz w:val="20"/>
          <w:szCs w:val="20"/>
        </w:rPr>
        <w:t>Instructions:</w:t>
      </w:r>
      <w:r w:rsidRPr="008849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All procedures listed below are required for interim visits conducted at the research clinic. When performed, </w:t>
      </w:r>
      <w:r w:rsidRPr="00337617">
        <w:rPr>
          <w:rFonts w:ascii="Times New Roman" w:hAnsi="Times New Roman"/>
          <w:sz w:val="20"/>
          <w:szCs w:val="20"/>
        </w:rPr>
        <w:t>complete</w:t>
      </w:r>
      <w:r>
        <w:rPr>
          <w:rFonts w:ascii="Times New Roman" w:hAnsi="Times New Roman"/>
          <w:sz w:val="20"/>
          <w:szCs w:val="20"/>
        </w:rPr>
        <w:t xml:space="preserve"> “S</w:t>
      </w:r>
      <w:r w:rsidRPr="00337617"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0"/>
          <w:szCs w:val="20"/>
        </w:rPr>
        <w:t>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80" w:rightFromText="180" w:vertAnchor="page" w:horzAnchor="margin" w:tblpXSpec="center" w:tblpY="293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6238"/>
        <w:gridCol w:w="918"/>
        <w:gridCol w:w="2952"/>
      </w:tblGrid>
      <w:tr w:rsidR="00B464BA" w:rsidRPr="0087302D" w14:paraId="57A815DA" w14:textId="77777777" w:rsidTr="00B464BA">
        <w:trPr>
          <w:trHeight w:val="300"/>
          <w:tblHeader/>
        </w:trPr>
        <w:tc>
          <w:tcPr>
            <w:tcW w:w="10620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noWrap/>
          </w:tcPr>
          <w:p w14:paraId="57A815D9" w14:textId="752A1F97" w:rsidR="00B464BA" w:rsidRDefault="001F04DC" w:rsidP="00382598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General </w:t>
            </w:r>
            <w:r w:rsidR="00B464BA">
              <w:rPr>
                <w:b/>
              </w:rPr>
              <w:t>Interim</w:t>
            </w:r>
            <w:r w:rsidR="00B464BA" w:rsidRPr="003F7805">
              <w:rPr>
                <w:b/>
              </w:rPr>
              <w:t xml:space="preserve"> Visit Checklist</w:t>
            </w:r>
          </w:p>
        </w:tc>
      </w:tr>
      <w:tr w:rsidR="00B464BA" w:rsidRPr="0087302D" w14:paraId="57A815DE" w14:textId="77777777" w:rsidTr="00B464BA">
        <w:trPr>
          <w:trHeight w:val="300"/>
          <w:tblHeader/>
        </w:trPr>
        <w:tc>
          <w:tcPr>
            <w:tcW w:w="6750" w:type="dxa"/>
            <w:gridSpan w:val="2"/>
            <w:tcBorders>
              <w:top w:val="single" w:sz="4" w:space="0" w:color="auto"/>
            </w:tcBorders>
            <w:noWrap/>
          </w:tcPr>
          <w:p w14:paraId="57A815DB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 </w:t>
            </w:r>
            <w:r w:rsidRPr="003B279B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57A815DC" w14:textId="77777777" w:rsidR="00B464BA" w:rsidRDefault="00B464BA" w:rsidP="00382598">
            <w:pPr>
              <w:spacing w:after="0" w:line="240" w:lineRule="auto"/>
              <w:ind w:left="-108" w:firstLine="1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bottom"/>
          </w:tcPr>
          <w:p w14:paraId="57A815DD" w14:textId="77777777" w:rsidR="00B464BA" w:rsidRDefault="00B464BA" w:rsidP="00382598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Comments:</w:t>
            </w:r>
          </w:p>
        </w:tc>
      </w:tr>
      <w:tr w:rsidR="00B464BA" w:rsidRPr="0087302D" w14:paraId="57A815E3" w14:textId="77777777" w:rsidTr="00382598">
        <w:trPr>
          <w:trHeight w:val="450"/>
        </w:trPr>
        <w:tc>
          <w:tcPr>
            <w:tcW w:w="512" w:type="dxa"/>
            <w:noWrap/>
          </w:tcPr>
          <w:p w14:paraId="57A815DF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238" w:type="dxa"/>
          </w:tcPr>
          <w:p w14:paraId="57A815E0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Confirm identity and PTID per site SOPs.  </w:t>
            </w:r>
          </w:p>
        </w:tc>
        <w:tc>
          <w:tcPr>
            <w:tcW w:w="918" w:type="dxa"/>
          </w:tcPr>
          <w:p w14:paraId="57A815E1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E2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5EA" w14:textId="77777777" w:rsidTr="00382598">
        <w:trPr>
          <w:trHeight w:val="450"/>
        </w:trPr>
        <w:tc>
          <w:tcPr>
            <w:tcW w:w="512" w:type="dxa"/>
            <w:noWrap/>
          </w:tcPr>
          <w:p w14:paraId="57A815E4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238" w:type="dxa"/>
          </w:tcPr>
          <w:p w14:paraId="57A815E5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14:paraId="57A815E6" w14:textId="77777777" w:rsidR="00B464BA" w:rsidRDefault="00B464BA" w:rsidP="00B464B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14:paraId="57A815E7" w14:textId="77777777" w:rsidR="00B464BA" w:rsidRPr="003B279B" w:rsidRDefault="00B464BA" w:rsidP="00B464B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CONTINUE and notify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8" w:type="dxa"/>
          </w:tcPr>
          <w:p w14:paraId="57A815E8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E9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5EF" w14:textId="77777777" w:rsidTr="00382598">
        <w:trPr>
          <w:trHeight w:val="450"/>
        </w:trPr>
        <w:tc>
          <w:tcPr>
            <w:tcW w:w="512" w:type="dxa"/>
            <w:noWrap/>
          </w:tcPr>
          <w:p w14:paraId="57A815EB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238" w:type="dxa"/>
          </w:tcPr>
          <w:p w14:paraId="57A815EC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918" w:type="dxa"/>
          </w:tcPr>
          <w:p w14:paraId="57A815ED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EE" w14:textId="77777777" w:rsidR="00B464BA" w:rsidRPr="003B279B" w:rsidRDefault="00B464BA" w:rsidP="00B464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5F6" w14:textId="77777777" w:rsidTr="00382598">
        <w:trPr>
          <w:trHeight w:val="458"/>
        </w:trPr>
        <w:tc>
          <w:tcPr>
            <w:tcW w:w="512" w:type="dxa"/>
            <w:noWrap/>
          </w:tcPr>
          <w:p w14:paraId="57A815F0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238" w:type="dxa"/>
          </w:tcPr>
          <w:p w14:paraId="57A815F2" w14:textId="30CD43F7" w:rsidR="00B464BA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procedures as indicated based on reason for interim visit (specify):</w:t>
            </w:r>
          </w:p>
          <w:p w14:paraId="57A815F3" w14:textId="7DEDFBAE" w:rsidR="00B464BA" w:rsidRPr="003B279B" w:rsidRDefault="00B464BA" w:rsidP="00775D1C">
            <w:pPr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5D1C">
              <w:rPr>
                <w:rFonts w:cs="Calibr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  <w:tc>
          <w:tcPr>
            <w:tcW w:w="918" w:type="dxa"/>
          </w:tcPr>
          <w:p w14:paraId="57A815F4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F5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5FB" w14:textId="77777777" w:rsidTr="00382598">
        <w:trPr>
          <w:trHeight w:val="710"/>
        </w:trPr>
        <w:tc>
          <w:tcPr>
            <w:tcW w:w="512" w:type="dxa"/>
            <w:noWrap/>
          </w:tcPr>
          <w:p w14:paraId="57A815F7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238" w:type="dxa"/>
          </w:tcPr>
          <w:p w14:paraId="57A815F8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scheduling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of </w:t>
            </w:r>
            <w:r w:rsidRPr="003B279B">
              <w:rPr>
                <w:rFonts w:cs="Calibri"/>
                <w:color w:val="000000"/>
              </w:rPr>
              <w:t>next visit. Provide contact information and instructions to report symptoms and/or request information, counseling, a new ring, or condoms before next visit.</w:t>
            </w:r>
          </w:p>
        </w:tc>
        <w:tc>
          <w:tcPr>
            <w:tcW w:w="918" w:type="dxa"/>
          </w:tcPr>
          <w:p w14:paraId="57A815F9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FA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600" w14:textId="77777777" w:rsidTr="00775D1C">
        <w:trPr>
          <w:trHeight w:val="390"/>
        </w:trPr>
        <w:tc>
          <w:tcPr>
            <w:tcW w:w="512" w:type="dxa"/>
            <w:noWrap/>
          </w:tcPr>
          <w:p w14:paraId="57A815FC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238" w:type="dxa"/>
          </w:tcPr>
          <w:p w14:paraId="57A815FD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  <w:r>
              <w:rPr>
                <w:rFonts w:cs="Calibri"/>
                <w:color w:val="000000"/>
              </w:rPr>
              <w:t xml:space="preserve"> as needed/indicated</w:t>
            </w:r>
          </w:p>
        </w:tc>
        <w:tc>
          <w:tcPr>
            <w:tcW w:w="918" w:type="dxa"/>
          </w:tcPr>
          <w:p w14:paraId="57A815FE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5FF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605" w14:textId="77777777" w:rsidTr="00382598">
        <w:trPr>
          <w:trHeight w:val="350"/>
        </w:trPr>
        <w:tc>
          <w:tcPr>
            <w:tcW w:w="512" w:type="dxa"/>
            <w:noWrap/>
          </w:tcPr>
          <w:p w14:paraId="57A81601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238" w:type="dxa"/>
          </w:tcPr>
          <w:p w14:paraId="57A81602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QC to e</w:t>
            </w:r>
            <w:r w:rsidRPr="003B279B">
              <w:rPr>
                <w:rFonts w:cs="Calibri"/>
                <w:color w:val="000000"/>
              </w:rPr>
              <w:t>nsure chart notes and all other required visit documentation is complete.</w:t>
            </w:r>
          </w:p>
        </w:tc>
        <w:tc>
          <w:tcPr>
            <w:tcW w:w="918" w:type="dxa"/>
          </w:tcPr>
          <w:p w14:paraId="57A81603" w14:textId="77777777" w:rsidR="00B464BA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</w:tcPr>
          <w:p w14:paraId="57A81604" w14:textId="77777777" w:rsidR="00B464BA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464BA" w:rsidRPr="0087302D" w14:paraId="57A8160A" w14:textId="77777777" w:rsidTr="00775D1C">
        <w:trPr>
          <w:trHeight w:val="903"/>
        </w:trPr>
        <w:tc>
          <w:tcPr>
            <w:tcW w:w="512" w:type="dxa"/>
            <w:tcBorders>
              <w:bottom w:val="single" w:sz="4" w:space="0" w:color="auto"/>
            </w:tcBorders>
            <w:noWrap/>
          </w:tcPr>
          <w:p w14:paraId="57A81606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14:paraId="390D95EA" w14:textId="77777777" w:rsidR="00AD2B76" w:rsidRDefault="00B464BA" w:rsidP="00F3220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applicable,</w:t>
            </w:r>
            <w:r w:rsidR="00F3220A">
              <w:rPr>
                <w:rFonts w:cs="Calibri"/>
                <w:color w:val="000000"/>
              </w:rPr>
              <w:t xml:space="preserve"> enter any completed CRFs into Medidata</w:t>
            </w:r>
            <w:r w:rsidR="00AD2B76">
              <w:rPr>
                <w:rFonts w:cs="Calibri"/>
                <w:color w:val="000000"/>
              </w:rPr>
              <w:t xml:space="preserve"> </w:t>
            </w:r>
          </w:p>
          <w:p w14:paraId="57A81607" w14:textId="5C348011" w:rsidR="00AD2B76" w:rsidRPr="003B279B" w:rsidRDefault="00AD2B76" w:rsidP="00775D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At a minimum, the Date of Visit, Interim Visit Procedures, and Follow-up Visit Summary </w:t>
            </w:r>
            <w:r w:rsidR="00382598">
              <w:rPr>
                <w:rFonts w:cs="Calibri"/>
                <w:color w:val="000000"/>
              </w:rPr>
              <w:t xml:space="preserve">forms </w:t>
            </w:r>
            <w:r>
              <w:rPr>
                <w:rFonts w:cs="Calibri"/>
                <w:color w:val="000000"/>
              </w:rPr>
              <w:t>are required.</w:t>
            </w:r>
            <w:r w:rsidR="00B464B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3D023D06" w14:textId="77777777" w:rsidR="00B464BA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7A81608" w14:textId="77777777" w:rsidR="00AD2B76" w:rsidRPr="003B279B" w:rsidRDefault="00AD2B76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7A81609" w14:textId="77777777" w:rsidR="00B464BA" w:rsidRPr="003B279B" w:rsidRDefault="00B464BA" w:rsidP="0038259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7A8160C" w14:textId="08A18328" w:rsidR="007E46F6" w:rsidRDefault="007E46F6" w:rsidP="00775D1C"/>
    <w:sectPr w:rsidR="007E46F6" w:rsidSect="00382598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5EE8" w14:textId="77777777" w:rsidR="00382598" w:rsidRDefault="00382598" w:rsidP="00B464BA">
      <w:pPr>
        <w:spacing w:after="0" w:line="240" w:lineRule="auto"/>
      </w:pPr>
      <w:r>
        <w:separator/>
      </w:r>
    </w:p>
  </w:endnote>
  <w:endnote w:type="continuationSeparator" w:id="0">
    <w:p w14:paraId="4C3B9526" w14:textId="77777777" w:rsidR="00382598" w:rsidRDefault="00382598" w:rsidP="00B464BA">
      <w:pPr>
        <w:spacing w:after="0" w:line="240" w:lineRule="auto"/>
      </w:pPr>
      <w:r>
        <w:continuationSeparator/>
      </w:r>
    </w:p>
  </w:endnote>
  <w:endnote w:type="continuationNotice" w:id="1">
    <w:p w14:paraId="370793A7" w14:textId="77777777" w:rsidR="00B70EBE" w:rsidRDefault="00B70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1614" w14:textId="499238FB" w:rsidR="00382598" w:rsidRDefault="00382598" w:rsidP="00382598">
    <w:pPr>
      <w:pStyle w:val="Footer"/>
    </w:pPr>
    <w:r>
      <w:rPr>
        <w:sz w:val="18"/>
        <w:szCs w:val="18"/>
      </w:rPr>
      <w:t>MTN-025 Interim Visit Checklist – Version 1.0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75D1C">
      <w:rPr>
        <w:sz w:val="18"/>
        <w:szCs w:val="18"/>
      </w:rPr>
      <w:t>25</w:t>
    </w:r>
    <w:r>
      <w:rPr>
        <w:sz w:val="18"/>
        <w:szCs w:val="18"/>
      </w:rPr>
      <w:t>AUG2016</w:t>
    </w:r>
  </w:p>
  <w:p w14:paraId="57A81615" w14:textId="77777777" w:rsidR="00382598" w:rsidRPr="00E11E42" w:rsidRDefault="00382598" w:rsidP="0038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BAE1" w14:textId="77777777" w:rsidR="00382598" w:rsidRDefault="00382598" w:rsidP="00B464BA">
      <w:pPr>
        <w:spacing w:after="0" w:line="240" w:lineRule="auto"/>
      </w:pPr>
      <w:r>
        <w:separator/>
      </w:r>
    </w:p>
  </w:footnote>
  <w:footnote w:type="continuationSeparator" w:id="0">
    <w:p w14:paraId="21098EF5" w14:textId="77777777" w:rsidR="00382598" w:rsidRDefault="00382598" w:rsidP="00B464BA">
      <w:pPr>
        <w:spacing w:after="0" w:line="240" w:lineRule="auto"/>
      </w:pPr>
      <w:r>
        <w:continuationSeparator/>
      </w:r>
    </w:p>
  </w:footnote>
  <w:footnote w:type="continuationNotice" w:id="1">
    <w:p w14:paraId="41C0A4E2" w14:textId="77777777" w:rsidR="00B70EBE" w:rsidRDefault="00B70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1611" w14:textId="1225CC5D" w:rsidR="00382598" w:rsidRDefault="003E5BF5" w:rsidP="00382598">
    <w:pPr>
      <w:pStyle w:val="Header"/>
      <w:tabs>
        <w:tab w:val="clear" w:pos="9360"/>
        <w:tab w:val="right" w:pos="999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C182B" wp14:editId="4074EF8F">
              <wp:simplePos x="0" y="0"/>
              <wp:positionH relativeFrom="column">
                <wp:posOffset>5106035</wp:posOffset>
              </wp:positionH>
              <wp:positionV relativeFrom="paragraph">
                <wp:posOffset>-80381</wp:posOffset>
              </wp:positionV>
              <wp:extent cx="258445" cy="249555"/>
              <wp:effectExtent l="0" t="0" r="27305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45" cy="2495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DEA7F" id="Rectangle 3" o:spid="_x0000_s1026" style="position:absolute;margin-left:402.05pt;margin-top:-6.35pt;width:20.3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" filled="f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2572B8" wp14:editId="4786F952">
              <wp:simplePos x="0" y="0"/>
              <wp:positionH relativeFrom="column">
                <wp:posOffset>5812934</wp:posOffset>
              </wp:positionH>
              <wp:positionV relativeFrom="paragraph">
                <wp:posOffset>-79375</wp:posOffset>
              </wp:positionV>
              <wp:extent cx="258445" cy="249555"/>
              <wp:effectExtent l="0" t="0" r="27305" b="171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45" cy="2495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A72ED" id="Rectangle 5" o:spid="_x0000_s1026" style="position:absolute;margin-left:457.7pt;margin-top:-6.25pt;width:20.35pt;height:1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" filled="f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BE01FA" wp14:editId="23C7D55F">
              <wp:simplePos x="0" y="0"/>
              <wp:positionH relativeFrom="column">
                <wp:posOffset>5503210</wp:posOffset>
              </wp:positionH>
              <wp:positionV relativeFrom="paragraph">
                <wp:posOffset>-79638</wp:posOffset>
              </wp:positionV>
              <wp:extent cx="258792" cy="249722"/>
              <wp:effectExtent l="0" t="0" r="27305" b="171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792" cy="24972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1D023" id="Rectangle 4" o:spid="_x0000_s1026" style="position:absolute;margin-left:433.3pt;margin-top:-6.25pt;width:20.4pt;height:19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" filled="f" strokecolor="black [3213]" strokeweight="1pt"/>
          </w:pict>
        </mc:Fallback>
      </mc:AlternateContent>
    </w:r>
    <w:r w:rsidR="00382598">
      <w:t xml:space="preserve">PTID: ___________________________                     Date: </w:t>
    </w:r>
    <w:r w:rsidR="005122BA">
      <w:t xml:space="preserve">____________      Interim </w:t>
    </w:r>
    <w:r w:rsidR="00382598">
      <w:t xml:space="preserve">Visit </w:t>
    </w:r>
    <w:r w:rsidR="005122BA">
      <w:t xml:space="preserve">Number: </w:t>
    </w:r>
    <w:r>
      <w:t xml:space="preserve">          .</w:t>
    </w:r>
  </w:p>
  <w:p w14:paraId="57A81612" w14:textId="7D91AAEC" w:rsidR="00382598" w:rsidRDefault="00382598" w:rsidP="00382598">
    <w:pPr>
      <w:pStyle w:val="Header"/>
      <w:tabs>
        <w:tab w:val="clear" w:pos="9360"/>
        <w:tab w:val="right" w:pos="9990"/>
      </w:tabs>
      <w:ind w:left="-630"/>
    </w:pPr>
    <w:r>
      <w:tab/>
    </w:r>
    <w:r>
      <w:tab/>
    </w:r>
  </w:p>
  <w:p w14:paraId="57A81613" w14:textId="77777777" w:rsidR="00382598" w:rsidRDefault="00382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A"/>
    <w:rsid w:val="000B3C26"/>
    <w:rsid w:val="001A489E"/>
    <w:rsid w:val="001F04DC"/>
    <w:rsid w:val="002031FE"/>
    <w:rsid w:val="002033B6"/>
    <w:rsid w:val="0029117C"/>
    <w:rsid w:val="00382598"/>
    <w:rsid w:val="003E5BF5"/>
    <w:rsid w:val="004C6B52"/>
    <w:rsid w:val="005122BA"/>
    <w:rsid w:val="00775D1C"/>
    <w:rsid w:val="007E46F6"/>
    <w:rsid w:val="00835EDB"/>
    <w:rsid w:val="009D353B"/>
    <w:rsid w:val="00A05F50"/>
    <w:rsid w:val="00AD2B76"/>
    <w:rsid w:val="00B464BA"/>
    <w:rsid w:val="00B70EBE"/>
    <w:rsid w:val="00DF3257"/>
    <w:rsid w:val="00EA676A"/>
    <w:rsid w:val="00EB44DE"/>
    <w:rsid w:val="00F3220A"/>
    <w:rsid w:val="00F47D6C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15D8"/>
  <w15:docId w15:val="{AF609B5A-C9CC-4BBE-8A01-A74088ED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4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B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B4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B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2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25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7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E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Props1.xml><?xml version="1.0" encoding="utf-8"?>
<ds:datastoreItem xmlns:ds="http://schemas.openxmlformats.org/officeDocument/2006/customXml" ds:itemID="{B222825B-DD3C-4349-9B2E-57E60270B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4E5C-0BBD-434C-8C8F-0373E5C04B8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3DCBA9B-C585-4DA0-A093-302A476D0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0216F-0543-4226-81B7-3FF1747029BE}">
  <ds:schemaRefs>
    <ds:schemaRef ds:uri="e6e80880-be38-4dd8-99da-434f2d03d56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0cdb9d7b-3bdb-4b1c-be50-7737cb6ee7a2"/>
    <ds:schemaRef ds:uri="E6E80880-BE38-4DD8-99DA-434F2D03D56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Morgan Garcia</cp:lastModifiedBy>
  <cp:revision>14</cp:revision>
  <dcterms:created xsi:type="dcterms:W3CDTF">2016-05-10T18:17:00Z</dcterms:created>
  <dcterms:modified xsi:type="dcterms:W3CDTF">2016-08-25T13:26:00Z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